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F4" w:rsidRDefault="00CF40F4" w:rsidP="00CF40F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A71658"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56859970" wp14:editId="5E5C39D9">
            <wp:simplePos x="0" y="0"/>
            <wp:positionH relativeFrom="column">
              <wp:posOffset>-114300</wp:posOffset>
            </wp:positionH>
            <wp:positionV relativeFrom="paragraph">
              <wp:posOffset>-855345</wp:posOffset>
            </wp:positionV>
            <wp:extent cx="2590800" cy="1066800"/>
            <wp:effectExtent l="19050" t="0" r="0" b="0"/>
            <wp:wrapNone/>
            <wp:docPr id="8" name="Kép 2" descr="C:\Users\Lehel\Desktop\Zeneakadem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hel\Desktop\Zeneakademia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bookmarkStart w:id="0" w:name="_GoBack"/>
      <w:r w:rsidRPr="00BB776B">
        <w:rPr>
          <w:rFonts w:eastAsia="Times New Roman"/>
          <w:b/>
          <w:color w:val="000000"/>
          <w:sz w:val="24"/>
          <w:szCs w:val="24"/>
          <w:lang w:eastAsia="hu-HU"/>
        </w:rPr>
        <w:t>800 millió forintos állami támogatásból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  <w:r w:rsidRPr="00BB776B">
        <w:rPr>
          <w:rFonts w:eastAsia="Times New Roman"/>
          <w:b/>
          <w:bCs/>
          <w:color w:val="000000"/>
          <w:sz w:val="24"/>
          <w:szCs w:val="24"/>
          <w:lang w:eastAsia="hu-HU"/>
        </w:rPr>
        <w:t xml:space="preserve">újult meg a Zeneakadémia történelmi orgonája </w:t>
      </w:r>
    </w:p>
    <w:bookmarkEnd w:id="0"/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BB776B">
        <w:rPr>
          <w:rFonts w:eastAsia="Times New Roman"/>
          <w:b/>
          <w:bCs/>
          <w:color w:val="000000"/>
          <w:sz w:val="24"/>
          <w:szCs w:val="24"/>
          <w:lang w:eastAsia="hu-HU"/>
        </w:rPr>
        <w:t xml:space="preserve">Kilenc éven át tartó munka és összefogás eredményeként október 22-én, az intézményalapító Liszt Ferenc születésnapján rendezett ünnepélyes koncerten szólal meg újra a Zeneakadémia Nagytermében a magyar zenei élet egyik szimbóluma, a felújított </w:t>
      </w:r>
      <w:proofErr w:type="spellStart"/>
      <w:r w:rsidRPr="00BB776B">
        <w:rPr>
          <w:rFonts w:eastAsia="Times New Roman"/>
          <w:b/>
          <w:bCs/>
          <w:color w:val="000000"/>
          <w:sz w:val="24"/>
          <w:szCs w:val="24"/>
          <w:lang w:eastAsia="hu-HU"/>
        </w:rPr>
        <w:t>Voit</w:t>
      </w:r>
      <w:proofErr w:type="spellEnd"/>
      <w:r w:rsidRPr="00BB776B">
        <w:rPr>
          <w:rFonts w:eastAsia="Times New Roman"/>
          <w:b/>
          <w:bCs/>
          <w:color w:val="000000"/>
          <w:sz w:val="24"/>
          <w:szCs w:val="24"/>
          <w:lang w:eastAsia="hu-HU"/>
        </w:rPr>
        <w:t xml:space="preserve">-orgona. Magyarország első </w:t>
      </w:r>
      <w:proofErr w:type="spellStart"/>
      <w:r w:rsidRPr="00BB776B">
        <w:rPr>
          <w:rFonts w:eastAsia="Times New Roman"/>
          <w:b/>
          <w:bCs/>
          <w:color w:val="000000"/>
          <w:sz w:val="24"/>
          <w:szCs w:val="24"/>
          <w:lang w:eastAsia="hu-HU"/>
        </w:rPr>
        <w:t>hangversenytermi</w:t>
      </w:r>
      <w:proofErr w:type="spellEnd"/>
      <w:r w:rsidRPr="00BB776B">
        <w:rPr>
          <w:rFonts w:eastAsia="Times New Roman"/>
          <w:b/>
          <w:bCs/>
          <w:color w:val="000000"/>
          <w:sz w:val="24"/>
          <w:szCs w:val="24"/>
          <w:lang w:eastAsia="hu-HU"/>
        </w:rPr>
        <w:t xml:space="preserve">, az európai örökség védelme szempontjából is kiemelkedő jelentőségű orgonája évszázados hányattatás után, kapta vissza eredeti helyét. </w:t>
      </w: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Világszerte úttörő teljesítményként értékelik az 1907-ben épült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Voit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-orgona rekonstrukcióját, amely 800 millió forintos állami támogatásból valósult meg: ez az első alkalom, hogy egy századfordulós elektromos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traktúrájú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orgona minden részletében, korhűen újult meg. Az eredeti budapesti orgona korának kiemelkedő orgonaépítője, a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Voit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  <w:r w:rsidRPr="00BB776B">
        <w:rPr>
          <w:rFonts w:eastAsia="Times New Roman"/>
          <w:color w:val="222222"/>
          <w:sz w:val="24"/>
          <w:szCs w:val="24"/>
          <w:lang w:eastAsia="hu-HU"/>
        </w:rPr>
        <w:t xml:space="preserve">&amp; </w:t>
      </w:r>
      <w:proofErr w:type="spellStart"/>
      <w:r w:rsidRPr="00BB776B">
        <w:rPr>
          <w:rFonts w:eastAsia="Times New Roman"/>
          <w:color w:val="222222"/>
          <w:sz w:val="24"/>
          <w:szCs w:val="24"/>
          <w:lang w:eastAsia="hu-HU"/>
        </w:rPr>
        <w:t>Söhne</w:t>
      </w:r>
      <w:proofErr w:type="spellEnd"/>
      <w:r w:rsidRPr="00BB776B">
        <w:rPr>
          <w:rFonts w:eastAsia="Times New Roman"/>
          <w:color w:val="222222"/>
          <w:sz w:val="24"/>
          <w:szCs w:val="24"/>
          <w:lang w:eastAsia="hu-HU"/>
        </w:rPr>
        <w:t xml:space="preserve"> cég karlsruhei műhelyében készült, majd együtt épült a Zeneakadémia Liszt Ferenc téri szecessziós épületével. 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A legendás hangszer 4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manuálos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, 74 regiszteres, több mint 4500 síppal. A felújítás nyomán az orgonában a hangzásvilágot érintetlenül hagyva jelennek meg a modern orgonaépítészet vívmányai is, például a hangszín-kombinációk kezelését megkönnyítő számítógépes rendszer. </w:t>
      </w: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„Az új orgona megidézi a múltat, de előre mutat. Egyszerre hordozza a komoly európai tradíciókban gyökerező múltat és Liszt szellemiségének nyitottságát, a megújulás képességét, amelyre iskolánk mindenkor törekedett – hangsúlyozta </w:t>
      </w:r>
      <w:r w:rsidRPr="00BB776B">
        <w:rPr>
          <w:rFonts w:eastAsia="Times New Roman"/>
          <w:b/>
          <w:color w:val="000000"/>
          <w:sz w:val="24"/>
          <w:szCs w:val="24"/>
          <w:lang w:eastAsia="hu-HU"/>
        </w:rPr>
        <w:t>Dr. Vigh Andrea, a Liszt Ferenc Zeneművészeti Egyetem rektora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az ünnepélyes avató előtt. </w:t>
      </w: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A Zeneakadémia Szenátusa 2010-ben, az intézmény Főépületének rekonstrukcióját követően tűzte célul a Nagyteremben található, de a 60-as évek végétől más hangszerrel helyettesített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Voit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-orgona visszaállítását eredeti helyére. A döntést művészi, építészeti, műemlékvédelmi és orgonatörténeti szempontok is indokolták. A nagy áttörés 2014 novemberében történt, amikor Magyarország Kormánya határozatot hozott és 800 millió forintot adott a projekt támogatására (1502/2012 (XI.16) sz. Kormányhatározat). A rekonstrukciót a nemzetközi közbeszerzési eljárás eredményeként a kiváló referenciákkal rendelkező német Johannes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Klais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Orgelbau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és magyarországi partnere, az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Aeris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Orgona Kft. végezte az Egyetem orgona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tanszakának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tanáraiból, műszaki és gazdasági szakembereiből álló szakértői bizottság felügyelete mellett. Az orgonaszakértői feladatokat </w:t>
      </w:r>
      <w:r w:rsidRPr="00BB776B">
        <w:rPr>
          <w:rFonts w:eastAsia="Times New Roman"/>
          <w:b/>
          <w:color w:val="000000"/>
          <w:sz w:val="24"/>
          <w:szCs w:val="24"/>
          <w:lang w:eastAsia="hu-HU"/>
        </w:rPr>
        <w:t>Szabó Balázs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, az ország legmagasabban képzett orgonaszakértője látta el </w:t>
      </w:r>
      <w:proofErr w:type="spellStart"/>
      <w:r w:rsidRPr="00BB776B">
        <w:rPr>
          <w:rFonts w:eastAsia="Times New Roman"/>
          <w:b/>
          <w:color w:val="000000"/>
          <w:sz w:val="24"/>
          <w:szCs w:val="24"/>
          <w:lang w:eastAsia="hu-HU"/>
        </w:rPr>
        <w:t>Fassang</w:t>
      </w:r>
      <w:proofErr w:type="spellEnd"/>
      <w:r w:rsidRPr="00BB776B">
        <w:rPr>
          <w:rFonts w:eastAsia="Times New Roman"/>
          <w:b/>
          <w:color w:val="000000"/>
          <w:sz w:val="24"/>
          <w:szCs w:val="24"/>
          <w:lang w:eastAsia="hu-HU"/>
        </w:rPr>
        <w:t xml:space="preserve"> László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orgonaművésszel, a Zeneakadémia orgona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tanszakának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vezetőjével, a projekt szakmai vezetője pedig </w:t>
      </w:r>
      <w:r w:rsidRPr="00BB776B">
        <w:rPr>
          <w:rFonts w:eastAsia="Times New Roman"/>
          <w:b/>
          <w:color w:val="000000"/>
          <w:sz w:val="24"/>
          <w:szCs w:val="24"/>
          <w:lang w:eastAsia="hu-HU"/>
        </w:rPr>
        <w:t>Lakatos Gergely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főmérnök volt. Európában a budapesti a harmadik felújított és működő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hangversenytermi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B776B">
        <w:rPr>
          <w:rFonts w:eastAsia="Times New Roman"/>
          <w:color w:val="000000"/>
          <w:sz w:val="24"/>
          <w:szCs w:val="24"/>
          <w:lang w:eastAsia="hu-HU"/>
        </w:rPr>
        <w:t>Voit</w:t>
      </w:r>
      <w:proofErr w:type="spellEnd"/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-orgona, a Zeneakadémia orgonája azonban minőségében, innovációs tartalmában, képességeiben messze megelőzi a heidelbergit és a prágait. Hangja elénk hozza a századforduló hangszereinek patináját, egy kiforrott stílus vívmányait. A Nagyterem méretéből és akusztikájából fakadóan a hangzás koncentrált, energikus és nemes. Hasonló kaliberű történelmi orgonával a világon 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lastRenderedPageBreak/>
        <w:t>mindössze két oktatási intézmény büszkélkedhet: a moszkvai Csajkovszkij Konzervatórium és az amerikai Yale Egyetem.</w:t>
      </w: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r w:rsidRPr="00BB776B">
        <w:rPr>
          <w:rFonts w:eastAsia="Times New Roman"/>
          <w:sz w:val="24"/>
          <w:szCs w:val="24"/>
          <w:lang w:eastAsia="hu-HU"/>
        </w:rPr>
        <w:t xml:space="preserve">A </w:t>
      </w:r>
      <w:proofErr w:type="spellStart"/>
      <w:r w:rsidRPr="00BB776B">
        <w:rPr>
          <w:rFonts w:eastAsia="Times New Roman"/>
          <w:sz w:val="24"/>
          <w:szCs w:val="24"/>
          <w:lang w:eastAsia="hu-HU"/>
        </w:rPr>
        <w:t>Voit</w:t>
      </w:r>
      <w:proofErr w:type="spellEnd"/>
      <w:r w:rsidRPr="00BB776B">
        <w:rPr>
          <w:rFonts w:eastAsia="Times New Roman"/>
          <w:sz w:val="24"/>
          <w:szCs w:val="24"/>
          <w:lang w:eastAsia="hu-HU"/>
        </w:rPr>
        <w:t>-orgona rekonstrukciója a legfontosabb lépés volt annak érdekében, hogy a Zeneakadémia orgonaparkja megfeleljen a modernkori orgonaoktatás követelményeinek. A hangszer méretéből, felszereltségéből és helyzetéből adódóan lehetőséget ad a teljes orgonairodalom koncertszerű megszólaltatására, beleértve az orgonát alkalmazó zenekari, kórus- és kamara műveket, ennek köszönhetően a zeneakadémista hallgatók a legmagasabb szinten sajátíthatják el az orgonaművészet mesterségbeli fogásait.</w:t>
      </w:r>
      <w:r w:rsidRPr="00BB776B"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</w:pPr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 xml:space="preserve">Az október 22-i ünnepélyes Orgonaavatón Erkel, Liszt, Kodály, R. Strauss és </w:t>
      </w:r>
      <w:proofErr w:type="spellStart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>Reger</w:t>
      </w:r>
      <w:proofErr w:type="spellEnd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 xml:space="preserve"> alkotásai mellett  egy kortárs mű is elhangzik: Szathmáry Zsigmond orgonista-zeneszerző erre az alkalomra szimfonikus orgonaversenyt írt. Az újjáépített orgonát az esten </w:t>
      </w:r>
      <w:proofErr w:type="spellStart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>Ruppert</w:t>
      </w:r>
      <w:proofErr w:type="spellEnd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 xml:space="preserve"> István, Szabó Balázs, </w:t>
      </w:r>
      <w:proofErr w:type="spellStart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>Pálúr</w:t>
      </w:r>
      <w:proofErr w:type="spellEnd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 xml:space="preserve"> János és </w:t>
      </w:r>
      <w:proofErr w:type="spellStart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>Fassang</w:t>
      </w:r>
      <w:proofErr w:type="spellEnd"/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 xml:space="preserve"> László szólaltatja meg.</w:t>
      </w:r>
    </w:p>
    <w:p w:rsidR="00BB776B" w:rsidRDefault="00BB776B" w:rsidP="00BB776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</w:pPr>
      <w:r w:rsidRPr="00BB776B">
        <w:rPr>
          <w:rFonts w:eastAsia="Times New Roman"/>
          <w:color w:val="000000"/>
          <w:sz w:val="24"/>
          <w:szCs w:val="24"/>
          <w:shd w:val="clear" w:color="auto" w:fill="FFFFFF"/>
          <w:lang w:eastAsia="hu-HU"/>
        </w:rPr>
        <w:t>Az Orgonaavatót a Bartók Rádió és az M5 tévécsatorna élőben közvetíti, az Eurovízió és az Eurorádió rádió- és televízióállomásai pedig felvételről sugározzák. A rendezvény a Zeneakadémia Facebook oldalán is követhető.</w:t>
      </w:r>
    </w:p>
    <w:p w:rsidR="00BB776B" w:rsidRPr="00BB776B" w:rsidRDefault="00BB776B" w:rsidP="00BB776B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CF40F4" w:rsidRPr="00CF40F4" w:rsidRDefault="00CF40F4" w:rsidP="00CF40F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További információ:</w:t>
      </w:r>
      <w:r>
        <w:rPr>
          <w:rFonts w:eastAsia="Times New Roman" w:cs="Times New Roman"/>
          <w:sz w:val="24"/>
          <w:szCs w:val="24"/>
          <w:lang w:eastAsia="hu-HU"/>
        </w:rPr>
        <w:br/>
      </w:r>
      <w:r w:rsidRPr="00CF40F4">
        <w:rPr>
          <w:rFonts w:eastAsia="Times New Roman" w:cs="Times New Roman"/>
          <w:color w:val="000000"/>
          <w:sz w:val="24"/>
          <w:szCs w:val="24"/>
          <w:lang w:eastAsia="hu-HU"/>
        </w:rPr>
        <w:t>Kommunikációs és Médiatartalmi Igazgatóság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br/>
      </w:r>
      <w:r w:rsidRPr="00CF40F4">
        <w:rPr>
          <w:rFonts w:eastAsia="Times New Roman" w:cs="Times New Roman"/>
          <w:color w:val="000000"/>
          <w:sz w:val="24"/>
          <w:szCs w:val="24"/>
          <w:lang w:eastAsia="hu-HU"/>
        </w:rPr>
        <w:t>Tel</w:t>
      </w:r>
      <w:proofErr w:type="gramStart"/>
      <w:r w:rsidRPr="00CF40F4">
        <w:rPr>
          <w:rFonts w:eastAsia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CF40F4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(1) 462 4600/172, e-mail: sajto@zeneakademia.hu</w:t>
      </w:r>
    </w:p>
    <w:p w:rsidR="00435272" w:rsidRDefault="00435272" w:rsidP="00435272">
      <w:pPr>
        <w:jc w:val="both"/>
      </w:pPr>
    </w:p>
    <w:sectPr w:rsidR="00435272" w:rsidSect="009B39DA">
      <w:headerReference w:type="default" r:id="rId7"/>
      <w:footerReference w:type="default" r:id="rId8"/>
      <w:footerReference w:type="first" r:id="rId9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C9" w:rsidRDefault="00DD25C9" w:rsidP="006E48CB">
      <w:pPr>
        <w:spacing w:after="0" w:line="240" w:lineRule="auto"/>
      </w:pPr>
      <w:r>
        <w:separator/>
      </w:r>
    </w:p>
  </w:endnote>
  <w:endnote w:type="continuationSeparator" w:id="0">
    <w:p w:rsidR="00DD25C9" w:rsidRDefault="00DD25C9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879B37" wp14:editId="615A5090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BB776B">
                            <w:rPr>
                              <w:noProof/>
                            </w:rPr>
                            <w:t>2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79B37"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BB776B">
                      <w:rPr>
                        <w:noProof/>
                      </w:rPr>
                      <w:t>2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7A7BE35" wp14:editId="1938C4E2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BB776B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7BE35" id="Rectangle 8" o:spid="_x0000_s1027" style="position:absolute;left:0;text-align:left;margin-left:497.25pt;margin-top:651.2pt;width:51.0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BB776B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C9" w:rsidRDefault="00DD25C9" w:rsidP="006E48CB">
      <w:pPr>
        <w:spacing w:after="0" w:line="240" w:lineRule="auto"/>
      </w:pPr>
      <w:r>
        <w:separator/>
      </w:r>
    </w:p>
  </w:footnote>
  <w:footnote w:type="continuationSeparator" w:id="0">
    <w:p w:rsidR="00DD25C9" w:rsidRDefault="00DD25C9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1B0057" w:rsidRDefault="001B0057" w:rsidP="008C69E0">
          <w:pPr>
            <w:pStyle w:val="lfej"/>
            <w:jc w:val="right"/>
          </w:pPr>
          <w:r>
            <w:t xml:space="preserve">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8"/>
    <w:rsid w:val="000211EC"/>
    <w:rsid w:val="00027C0F"/>
    <w:rsid w:val="000303A2"/>
    <w:rsid w:val="00067BC6"/>
    <w:rsid w:val="000D119C"/>
    <w:rsid w:val="000D3F4F"/>
    <w:rsid w:val="001301C9"/>
    <w:rsid w:val="00140A45"/>
    <w:rsid w:val="0015261B"/>
    <w:rsid w:val="001B0057"/>
    <w:rsid w:val="001C461F"/>
    <w:rsid w:val="001D7985"/>
    <w:rsid w:val="0020030D"/>
    <w:rsid w:val="00240CCC"/>
    <w:rsid w:val="002A02AE"/>
    <w:rsid w:val="002A34B5"/>
    <w:rsid w:val="002C771E"/>
    <w:rsid w:val="002F2F56"/>
    <w:rsid w:val="003420BB"/>
    <w:rsid w:val="00360FEB"/>
    <w:rsid w:val="003B570D"/>
    <w:rsid w:val="003D5E3F"/>
    <w:rsid w:val="003E569E"/>
    <w:rsid w:val="003E79A4"/>
    <w:rsid w:val="004164C0"/>
    <w:rsid w:val="00435272"/>
    <w:rsid w:val="004E2443"/>
    <w:rsid w:val="00502FEB"/>
    <w:rsid w:val="005301A5"/>
    <w:rsid w:val="005500C6"/>
    <w:rsid w:val="005543CD"/>
    <w:rsid w:val="0057563C"/>
    <w:rsid w:val="005821BE"/>
    <w:rsid w:val="005C375F"/>
    <w:rsid w:val="005E6F63"/>
    <w:rsid w:val="00620DA5"/>
    <w:rsid w:val="00637223"/>
    <w:rsid w:val="00645CFE"/>
    <w:rsid w:val="006A2819"/>
    <w:rsid w:val="006E48CB"/>
    <w:rsid w:val="00753231"/>
    <w:rsid w:val="0080681F"/>
    <w:rsid w:val="00855B78"/>
    <w:rsid w:val="0089669C"/>
    <w:rsid w:val="008C69E0"/>
    <w:rsid w:val="008D0EE6"/>
    <w:rsid w:val="0090407F"/>
    <w:rsid w:val="009103FD"/>
    <w:rsid w:val="00926F13"/>
    <w:rsid w:val="00962706"/>
    <w:rsid w:val="00964CA9"/>
    <w:rsid w:val="009B39DA"/>
    <w:rsid w:val="009E6545"/>
    <w:rsid w:val="00A07F8A"/>
    <w:rsid w:val="00A115E8"/>
    <w:rsid w:val="00A4532F"/>
    <w:rsid w:val="00A71658"/>
    <w:rsid w:val="00A71D7F"/>
    <w:rsid w:val="00B252BD"/>
    <w:rsid w:val="00B9130F"/>
    <w:rsid w:val="00BB776B"/>
    <w:rsid w:val="00C114D8"/>
    <w:rsid w:val="00C16CD0"/>
    <w:rsid w:val="00C27885"/>
    <w:rsid w:val="00C42647"/>
    <w:rsid w:val="00C66EED"/>
    <w:rsid w:val="00C7003E"/>
    <w:rsid w:val="00C7012E"/>
    <w:rsid w:val="00CB5AAC"/>
    <w:rsid w:val="00CC112D"/>
    <w:rsid w:val="00CF0F48"/>
    <w:rsid w:val="00CF40F4"/>
    <w:rsid w:val="00CF4BD7"/>
    <w:rsid w:val="00D01562"/>
    <w:rsid w:val="00DD25C9"/>
    <w:rsid w:val="00E16BE9"/>
    <w:rsid w:val="00E34A26"/>
    <w:rsid w:val="00EC6EE4"/>
    <w:rsid w:val="00ED2B63"/>
    <w:rsid w:val="00F267A4"/>
    <w:rsid w:val="00F35A4A"/>
    <w:rsid w:val="00F56F28"/>
    <w:rsid w:val="00F8283B"/>
    <w:rsid w:val="00FB05A2"/>
    <w:rsid w:val="00FC46F8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8FC757"/>
  <w15:docId w15:val="{C3ED493B-6065-4DD9-BA18-B61844B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3E569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56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569E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569E"/>
    <w:rPr>
      <w:rFonts w:asciiTheme="minorHAnsi" w:hAnsiTheme="minorHAnsi" w:cstheme="min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66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DA~1.TUN\AppData\Local\Temp\wordsablon_rovidne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wordsablon_rovidnev</Template>
  <TotalTime>0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Kazda Tünde</dc:creator>
  <cp:lastModifiedBy>lfze</cp:lastModifiedBy>
  <cp:revision>2</cp:revision>
  <cp:lastPrinted>2013-10-07T19:27:00Z</cp:lastPrinted>
  <dcterms:created xsi:type="dcterms:W3CDTF">2018-10-17T15:35:00Z</dcterms:created>
  <dcterms:modified xsi:type="dcterms:W3CDTF">2018-10-17T15:35:00Z</dcterms:modified>
</cp:coreProperties>
</file>